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88" w:rsidRDefault="00C40D4D" w:rsidP="00C40D4D">
      <w:pPr>
        <w:tabs>
          <w:tab w:val="center" w:pos="4230"/>
        </w:tabs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66DF61BF" wp14:editId="34FF087D">
            <wp:extent cx="790575" cy="793750"/>
            <wp:effectExtent l="0" t="0" r="9525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7288" w:rsidRDefault="00C40D4D">
      <w:pPr>
        <w:spacing w:after="177" w:line="259" w:lineRule="auto"/>
        <w:ind w:left="0" w:right="4639" w:firstLine="0"/>
      </w:pPr>
      <w:r>
        <w:rPr>
          <w:i w:val="0"/>
          <w:sz w:val="22"/>
        </w:rPr>
        <w:t xml:space="preserve"> </w:t>
      </w:r>
    </w:p>
    <w:p w:rsidR="00237288" w:rsidRDefault="00C40D4D">
      <w:pPr>
        <w:spacing w:after="120" w:line="259" w:lineRule="auto"/>
        <w:ind w:left="20" w:firstLine="0"/>
        <w:jc w:val="center"/>
      </w:pPr>
      <w:r>
        <w:rPr>
          <w:color w:val="006FC0"/>
          <w:sz w:val="24"/>
          <w:u w:val="single" w:color="006FC0"/>
        </w:rPr>
        <w:t xml:space="preserve">How to support your child in Maths in Year </w:t>
      </w:r>
      <w:proofErr w:type="gramStart"/>
      <w:r>
        <w:rPr>
          <w:color w:val="006FC0"/>
          <w:sz w:val="24"/>
          <w:u w:val="single" w:color="006FC0"/>
        </w:rPr>
        <w:t>4</w:t>
      </w:r>
      <w:proofErr w:type="gramEnd"/>
      <w:r>
        <w:rPr>
          <w:color w:val="006FC0"/>
          <w:sz w:val="24"/>
        </w:rPr>
        <w:t xml:space="preserve"> </w: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>The main focus of mathematics teaching in Year 4 is to ensure that pupils become increasingly fluent with whole numbers and the four operations, including number facts and the concept of place value. This should ensure that pupils develop efficient written</w:t>
      </w:r>
      <w:r>
        <w:rPr>
          <w:sz w:val="22"/>
        </w:rPr>
        <w:t xml:space="preserve"> and mental methods and perform calculations accurately with increasingly large whole numbers. </w: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By the end of year 4, pupils should have memorised their multiplication tables up to and including the 12 multiplication table. </w:t>
      </w:r>
    </w:p>
    <w:p w:rsidR="00237288" w:rsidRDefault="00C40D4D">
      <w:pPr>
        <w:pStyle w:val="Heading1"/>
        <w:ind w:left="-5"/>
      </w:pPr>
      <w:r>
        <w:t>Number and Place value</w:t>
      </w:r>
      <w:r>
        <w:rPr>
          <w:u w:val="none" w:color="000000"/>
        </w:rPr>
        <w:t xml:space="preserve"> </w:t>
      </w:r>
    </w:p>
    <w:p w:rsidR="00237288" w:rsidRDefault="00C40D4D">
      <w:pPr>
        <w:spacing w:after="117" w:line="251" w:lineRule="auto"/>
        <w:ind w:left="-5"/>
      </w:pPr>
      <w:r>
        <w:rPr>
          <w:sz w:val="22"/>
        </w:rPr>
        <w:t>Childre</w:t>
      </w:r>
      <w:r>
        <w:rPr>
          <w:sz w:val="22"/>
        </w:rPr>
        <w:t xml:space="preserve">n should already be able to: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count from 0 in multiples of 4, 8, 50 and 100; find 10 or 100 more or less than a given number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recognise the place value of each digit in a three-digit number (hundreds, tens, ones)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compare and order numbers up to 1000 </w:t>
      </w:r>
    </w:p>
    <w:p w:rsidR="00237288" w:rsidRDefault="00C40D4D">
      <w:pPr>
        <w:numPr>
          <w:ilvl w:val="0"/>
          <w:numId w:val="1"/>
        </w:numPr>
        <w:ind w:hanging="360"/>
      </w:pPr>
      <w:r>
        <w:t>read</w:t>
      </w:r>
      <w:r>
        <w:t xml:space="preserve"> and write numbers up to 1000 in numerals and in words </w:t>
      </w:r>
    </w:p>
    <w:p w:rsidR="00237288" w:rsidRDefault="00C40D4D">
      <w:pPr>
        <w:numPr>
          <w:ilvl w:val="0"/>
          <w:numId w:val="1"/>
        </w:numPr>
        <w:spacing w:after="198"/>
        <w:ind w:hanging="360"/>
      </w:pPr>
      <w:r>
        <w:t xml:space="preserve">solve number problems and practical problems involving these ideas. </w:t>
      </w:r>
    </w:p>
    <w:p w:rsidR="00237288" w:rsidRDefault="00C40D4D">
      <w:pPr>
        <w:spacing w:after="120" w:line="251" w:lineRule="auto"/>
        <w:ind w:left="-5"/>
      </w:pPr>
      <w:r>
        <w:rPr>
          <w:sz w:val="22"/>
        </w:rPr>
        <w:t xml:space="preserve">New learning: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Order and compare numbers beyond 1000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Count to multiples of 1000; count backwards through zero to include negative </w:t>
      </w:r>
      <w:r>
        <w:t xml:space="preserve">numbers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Find 1000 more or less than a given number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Round whole numbers to 10,000 to the nearest 10, 100 or 1000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Rounds decimals with one decimal place to the nearest whole number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Convert from larger to smaller units of metric measure e.g. m to cm </w:t>
      </w:r>
    </w:p>
    <w:p w:rsidR="00237288" w:rsidRDefault="00C40D4D">
      <w:pPr>
        <w:numPr>
          <w:ilvl w:val="0"/>
          <w:numId w:val="1"/>
        </w:numPr>
        <w:ind w:hanging="360"/>
      </w:pPr>
      <w:r>
        <w:t xml:space="preserve">Count in multiples of 6, 7, 9 and 25 </w:t>
      </w:r>
    </w:p>
    <w:p w:rsidR="00237288" w:rsidRDefault="00C40D4D">
      <w:pPr>
        <w:numPr>
          <w:ilvl w:val="0"/>
          <w:numId w:val="1"/>
        </w:numPr>
        <w:spacing w:after="199"/>
        <w:ind w:hanging="360"/>
      </w:pPr>
      <w:r>
        <w:t xml:space="preserve">Count up and down in hundredths; recognise that hundredths arise when dividing an object by one hundred and dividing tenths by ten </w:t>
      </w:r>
    </w:p>
    <w:p w:rsidR="00237288" w:rsidRDefault="00C40D4D">
      <w:pPr>
        <w:spacing w:after="141" w:line="259" w:lineRule="auto"/>
        <w:ind w:left="0" w:firstLine="0"/>
      </w:pPr>
      <w:r>
        <w:rPr>
          <w:sz w:val="22"/>
        </w:rPr>
        <w:t xml:space="preserve"> </w: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Example of deeper understanding: </w:t>
      </w:r>
    </w:p>
    <w:p w:rsidR="00237288" w:rsidRDefault="00C40D4D">
      <w:pPr>
        <w:spacing w:after="0" w:line="259" w:lineRule="auto"/>
        <w:ind w:left="0" w:firstLine="0"/>
      </w:pPr>
      <w:r>
        <w:rPr>
          <w:i w:val="0"/>
          <w:sz w:val="22"/>
        </w:rPr>
        <w:t xml:space="preserve"> </w:t>
      </w:r>
    </w:p>
    <w:p w:rsidR="00237288" w:rsidRDefault="00C40D4D">
      <w:pPr>
        <w:spacing w:after="313" w:line="259" w:lineRule="auto"/>
        <w:ind w:left="434" w:firstLine="0"/>
      </w:pPr>
      <w:r>
        <w:rPr>
          <w:noProof/>
        </w:rPr>
        <w:drawing>
          <wp:inline distT="0" distB="0" distL="0" distR="0">
            <wp:extent cx="3595086" cy="1755508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5086" cy="175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88" w:rsidRDefault="00C40D4D">
      <w:pPr>
        <w:spacing w:after="141" w:line="259" w:lineRule="auto"/>
        <w:ind w:left="72" w:firstLine="0"/>
        <w:jc w:val="center"/>
      </w:pPr>
      <w:r>
        <w:rPr>
          <w:color w:val="006FC0"/>
          <w:sz w:val="22"/>
        </w:rPr>
        <w:t xml:space="preserve"> </w:t>
      </w:r>
    </w:p>
    <w:p w:rsidR="00237288" w:rsidRDefault="00C40D4D">
      <w:pPr>
        <w:spacing w:after="141" w:line="259" w:lineRule="auto"/>
        <w:ind w:left="72" w:firstLine="0"/>
        <w:jc w:val="center"/>
      </w:pPr>
      <w:r>
        <w:rPr>
          <w:color w:val="006FC0"/>
          <w:sz w:val="22"/>
        </w:rPr>
        <w:t xml:space="preserve"> </w:t>
      </w:r>
    </w:p>
    <w:p w:rsidR="00237288" w:rsidRDefault="00C40D4D">
      <w:pPr>
        <w:spacing w:after="143" w:line="259" w:lineRule="auto"/>
        <w:ind w:left="72" w:firstLine="0"/>
        <w:jc w:val="center"/>
      </w:pPr>
      <w:r>
        <w:rPr>
          <w:color w:val="006FC0"/>
          <w:sz w:val="22"/>
        </w:rPr>
        <w:t xml:space="preserve"> </w:t>
      </w:r>
    </w:p>
    <w:p w:rsidR="00237288" w:rsidRDefault="00C40D4D">
      <w:pPr>
        <w:spacing w:after="0" w:line="259" w:lineRule="auto"/>
        <w:ind w:left="72" w:firstLine="0"/>
        <w:jc w:val="center"/>
      </w:pPr>
      <w:r>
        <w:rPr>
          <w:color w:val="006FC0"/>
          <w:sz w:val="22"/>
        </w:rPr>
        <w:t xml:space="preserve"> </w:t>
      </w:r>
    </w:p>
    <w:p w:rsidR="00237288" w:rsidRDefault="00C40D4D">
      <w:pPr>
        <w:spacing w:after="141" w:line="259" w:lineRule="auto"/>
        <w:ind w:left="17" w:firstLine="0"/>
        <w:jc w:val="center"/>
      </w:pPr>
      <w:r>
        <w:rPr>
          <w:color w:val="006FC0"/>
          <w:sz w:val="22"/>
          <w:u w:val="single" w:color="006FC0"/>
        </w:rPr>
        <w:t>Mental and written calculations</w:t>
      </w:r>
      <w:r>
        <w:rPr>
          <w:color w:val="006FC0"/>
          <w:sz w:val="22"/>
        </w:rPr>
        <w:t xml:space="preserve"> </w:t>
      </w:r>
    </w:p>
    <w:p w:rsidR="00237288" w:rsidRDefault="00C40D4D">
      <w:pPr>
        <w:pStyle w:val="Heading1"/>
        <w:ind w:left="-5"/>
      </w:pPr>
      <w:r>
        <w:lastRenderedPageBreak/>
        <w:t>Addition and subtraction</w:t>
      </w:r>
      <w:r>
        <w:rPr>
          <w:u w:val="none" w:color="000000"/>
        </w:rPr>
        <w:t xml:space="preserve"> </w:t>
      </w:r>
    </w:p>
    <w:p w:rsidR="00237288" w:rsidRDefault="00C40D4D">
      <w:pPr>
        <w:spacing w:after="118" w:line="251" w:lineRule="auto"/>
        <w:ind w:left="-5"/>
      </w:pPr>
      <w:r>
        <w:rPr>
          <w:sz w:val="22"/>
        </w:rPr>
        <w:t xml:space="preserve">Children should already be able to: </w:t>
      </w:r>
    </w:p>
    <w:p w:rsidR="00237288" w:rsidRDefault="00C40D4D">
      <w:pPr>
        <w:numPr>
          <w:ilvl w:val="0"/>
          <w:numId w:val="2"/>
        </w:numPr>
        <w:ind w:hanging="360"/>
      </w:pPr>
      <w:r>
        <w:t>Add and subtract multiples of 10</w:t>
      </w:r>
      <w:proofErr w:type="gramStart"/>
      <w:r>
        <w:t>s ,</w:t>
      </w:r>
      <w:proofErr w:type="gramEnd"/>
      <w:r>
        <w:t xml:space="preserve"> 100s, 1000s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Be fluent when adding 2 digit + 2 digit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Partition second number to add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Know decimal pairs of 10 and 1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Use near doubles to add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Adjust both numbers before adding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Add near multiples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Partition and recombine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Be fluent when subtracting 2 </w:t>
      </w:r>
      <w:proofErr w:type="gramStart"/>
      <w:r>
        <w:t>digit</w:t>
      </w:r>
      <w:proofErr w:type="gramEnd"/>
      <w:r>
        <w:t xml:space="preserve"> - 2 digit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Partition second number to subtract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Decimal subtraction from 10 or 1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Find the difference between two numbers </w:t>
      </w:r>
    </w:p>
    <w:p w:rsidR="00237288" w:rsidRDefault="00C40D4D">
      <w:pPr>
        <w:numPr>
          <w:ilvl w:val="0"/>
          <w:numId w:val="2"/>
        </w:numPr>
        <w:spacing w:after="198"/>
        <w:ind w:hanging="360"/>
      </w:pPr>
      <w:r>
        <w:t>Subtract near mult</w:t>
      </w:r>
      <w:r>
        <w:t xml:space="preserve">iples by rounding and adjusting </w:t>
      </w:r>
    </w:p>
    <w:p w:rsidR="00237288" w:rsidRDefault="00C40D4D">
      <w:pPr>
        <w:spacing w:after="117" w:line="251" w:lineRule="auto"/>
        <w:ind w:left="-5"/>
      </w:pPr>
      <w:r>
        <w:rPr>
          <w:sz w:val="22"/>
        </w:rPr>
        <w:t xml:space="preserve">New learning: </w:t>
      </w:r>
    </w:p>
    <w:p w:rsidR="00237288" w:rsidRDefault="00C40D4D">
      <w:pPr>
        <w:numPr>
          <w:ilvl w:val="0"/>
          <w:numId w:val="2"/>
        </w:numPr>
        <w:ind w:hanging="360"/>
      </w:pPr>
      <w:r>
        <w:t xml:space="preserve">Solve calculation problems involving two-step addition and subtraction in context, deciding which operations to use and why </w:t>
      </w:r>
    </w:p>
    <w:p w:rsidR="00237288" w:rsidRDefault="00C40D4D">
      <w:pPr>
        <w:numPr>
          <w:ilvl w:val="0"/>
          <w:numId w:val="2"/>
        </w:numPr>
        <w:spacing w:after="201"/>
        <w:ind w:hanging="360"/>
      </w:pPr>
      <w:r>
        <w:t xml:space="preserve">Solve calculation problems involving two-step addition and subtraction in context, </w:t>
      </w:r>
      <w:r>
        <w:t xml:space="preserve">deciding which methods to use and why  </w:t>
      </w:r>
    </w:p>
    <w:p w:rsidR="00237288" w:rsidRDefault="00C40D4D">
      <w:pPr>
        <w:spacing w:after="141" w:line="259" w:lineRule="auto"/>
        <w:ind w:left="0" w:firstLine="0"/>
      </w:pPr>
      <w:r>
        <w:rPr>
          <w:sz w:val="22"/>
        </w:rPr>
        <w:t xml:space="preserve"> </w: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How we teach it </w:t>
      </w:r>
    </w:p>
    <w:p w:rsidR="00237288" w:rsidRDefault="00C40D4D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321"/>
        </w:tabs>
        <w:spacing w:after="8" w:line="251" w:lineRule="auto"/>
        <w:ind w:left="-15" w:firstLine="0"/>
      </w:pPr>
      <w:r>
        <w:rPr>
          <w:sz w:val="22"/>
        </w:rPr>
        <w:t xml:space="preserve">Addition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Subtraction </w:t>
      </w:r>
    </w:p>
    <w:p w:rsidR="00237288" w:rsidRDefault="00C40D4D">
      <w:pPr>
        <w:spacing w:after="0" w:line="259" w:lineRule="auto"/>
        <w:ind w:left="-209" w:firstLine="0"/>
      </w:pPr>
      <w:r>
        <w:rPr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5785173" cy="4624112"/>
                <wp:effectExtent l="0" t="0" r="0" b="0"/>
                <wp:docPr id="3094" name="Group 3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173" cy="4624112"/>
                          <a:chOff x="0" y="0"/>
                          <a:chExt cx="5785173" cy="4624112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75887" y="0"/>
                            <a:ext cx="2109286" cy="462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2029632" cy="45323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4" style="width:455.525pt;height:364.103pt;mso-position-horizontal-relative:char;mso-position-vertical-relative:line" coordsize="57851,46241">
                <v:shape id="Picture 159" style="position:absolute;width:21092;height:46241;left:36758;top:0;" filled="f">
                  <v:imagedata r:id="rId9"/>
                </v:shape>
                <v:shape id="Picture 161" style="position:absolute;width:20296;height:45323;left:0;top:60;" filled="f">
                  <v:imagedata r:id="rId10"/>
                </v:shape>
              </v:group>
            </w:pict>
          </mc:Fallback>
        </mc:AlternateConten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Example of deeper understanding: </w:t>
      </w:r>
    </w:p>
    <w:p w:rsidR="00237288" w:rsidRDefault="00C40D4D">
      <w:pPr>
        <w:spacing w:after="0" w:line="259" w:lineRule="auto"/>
        <w:ind w:left="0" w:right="872" w:firstLine="0"/>
        <w:jc w:val="right"/>
      </w:pPr>
      <w:r>
        <w:rPr>
          <w:i w:val="0"/>
          <w:sz w:val="22"/>
        </w:rPr>
        <w:t xml:space="preserve"> </w:t>
      </w:r>
    </w:p>
    <w:p w:rsidR="00237288" w:rsidRDefault="00C40D4D" w:rsidP="00C40D4D">
      <w:pPr>
        <w:spacing w:after="275" w:line="259" w:lineRule="auto"/>
        <w:ind w:left="-134" w:firstLine="0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90519" cy="1620772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0519" cy="162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7288" w:rsidRDefault="00C40D4D">
      <w:pPr>
        <w:spacing w:after="0" w:line="259" w:lineRule="auto"/>
        <w:ind w:left="0" w:firstLine="0"/>
      </w:pPr>
      <w:r>
        <w:rPr>
          <w:color w:val="006FC0"/>
          <w:sz w:val="22"/>
        </w:rPr>
        <w:t xml:space="preserve"> </w:t>
      </w:r>
    </w:p>
    <w:p w:rsidR="00237288" w:rsidRDefault="00C40D4D">
      <w:pPr>
        <w:pStyle w:val="Heading1"/>
        <w:ind w:left="-5"/>
      </w:pPr>
      <w:r>
        <w:t>Multiplication and Division</w:t>
      </w:r>
      <w:r>
        <w:rPr>
          <w:u w:val="none" w:color="000000"/>
        </w:rPr>
        <w:t xml:space="preserve"> </w:t>
      </w:r>
    </w:p>
    <w:p w:rsidR="00237288" w:rsidRDefault="00C40D4D">
      <w:pPr>
        <w:spacing w:after="118" w:line="251" w:lineRule="auto"/>
        <w:ind w:left="-5"/>
      </w:pPr>
      <w:r>
        <w:rPr>
          <w:sz w:val="22"/>
        </w:rPr>
        <w:t xml:space="preserve">Children should already be able to: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4x, 8x tables and division facts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10 times bigger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3x, 6x and 12x tables and division facts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Double larger numbers and decimals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3x, 9x tables and division facts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11x, 7 x tables and division facts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6x, 12 x tables and division facts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10 times smaller </w:t>
      </w:r>
    </w:p>
    <w:p w:rsidR="00237288" w:rsidRDefault="00C40D4D">
      <w:pPr>
        <w:numPr>
          <w:ilvl w:val="0"/>
          <w:numId w:val="3"/>
        </w:numPr>
        <w:spacing w:line="385" w:lineRule="auto"/>
        <w:ind w:firstLine="360"/>
      </w:pPr>
      <w:r>
        <w:t xml:space="preserve">Halve larger numbers and decimals </w:t>
      </w:r>
      <w:r>
        <w:rPr>
          <w:sz w:val="22"/>
        </w:rPr>
        <w:t xml:space="preserve">New learning: 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Count in multiples of 6, 7,9 and 25 </w:t>
      </w:r>
    </w:p>
    <w:p w:rsidR="00237288" w:rsidRDefault="00C40D4D">
      <w:pPr>
        <w:numPr>
          <w:ilvl w:val="0"/>
          <w:numId w:val="3"/>
        </w:numPr>
        <w:ind w:firstLine="360"/>
      </w:pPr>
      <w:r>
        <w:t xml:space="preserve">Multiply two - digit and three - digit numbers by a one - digit number using formal written layout </w:t>
      </w:r>
    </w:p>
    <w:p w:rsidR="00237288" w:rsidRDefault="00C40D4D">
      <w:pPr>
        <w:numPr>
          <w:ilvl w:val="0"/>
          <w:numId w:val="3"/>
        </w:numPr>
        <w:spacing w:after="201"/>
        <w:ind w:firstLine="360"/>
      </w:pPr>
      <w:r>
        <w:t xml:space="preserve">Divide two - digit and three - digit numbers by a one - digit number </w:t>
      </w:r>
      <w:r>
        <w:t xml:space="preserve">using formal written layout </w: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How we teach it: </w:t>
      </w:r>
    </w:p>
    <w:p w:rsidR="00237288" w:rsidRDefault="00C40D4D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7"/>
        </w:tabs>
        <w:spacing w:after="153" w:line="251" w:lineRule="auto"/>
        <w:ind w:left="-15" w:firstLine="0"/>
      </w:pPr>
      <w:proofErr w:type="gramStart"/>
      <w:r>
        <w:rPr>
          <w:sz w:val="22"/>
        </w:rPr>
        <w:t xml:space="preserve">Multiplication  </w:t>
      </w:r>
      <w:r>
        <w:rPr>
          <w:sz w:val="22"/>
        </w:rPr>
        <w:tab/>
      </w:r>
      <w:proofErr w:type="gramEnd"/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Division </w:t>
      </w:r>
    </w:p>
    <w:p w:rsidR="00237288" w:rsidRDefault="00C40D4D">
      <w:pPr>
        <w:spacing w:after="46" w:line="259" w:lineRule="auto"/>
        <w:ind w:left="0" w:firstLine="0"/>
      </w:pPr>
      <w:r>
        <w:rPr>
          <w:i w:val="0"/>
          <w:sz w:val="22"/>
        </w:rPr>
        <w:t xml:space="preserve"> </w:t>
      </w:r>
    </w:p>
    <w:p w:rsidR="00237288" w:rsidRDefault="00C40D4D">
      <w:pPr>
        <w:spacing w:after="0" w:line="259" w:lineRule="auto"/>
        <w:ind w:left="-106" w:firstLine="0"/>
      </w:pPr>
      <w:r>
        <w:rPr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992882" cy="5060425"/>
                <wp:effectExtent l="0" t="0" r="0" b="0"/>
                <wp:docPr id="3099" name="Group 3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882" cy="5060425"/>
                          <a:chOff x="0" y="0"/>
                          <a:chExt cx="5992882" cy="5060425"/>
                        </a:xfrm>
                      </wpg:grpSpPr>
                      <wps:wsp>
                        <wps:cNvPr id="254" name="Rectangle 254"/>
                        <wps:cNvSpPr/>
                        <wps:spPr>
                          <a:xfrm>
                            <a:off x="4038729" y="759170"/>
                            <a:ext cx="44754" cy="213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7288" w:rsidRDefault="00C40D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79" cy="5060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43300" y="47243"/>
                            <a:ext cx="2449582" cy="3375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9" style="width:471.88pt;height:398.459pt;mso-position-horizontal-relative:char;mso-position-vertical-relative:line" coordsize="59928,50604">
                <v:rect id="Rectangle 254" style="position:absolute;width:447;height:2137;left:40387;top:7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6" style="position:absolute;width:21342;height:50604;left:0;top:0;" filled="f">
                  <v:imagedata r:id="rId14"/>
                </v:shape>
                <v:shape id="Picture 258" style="position:absolute;width:24495;height:33756;left:35433;top:472;" filled="f">
                  <v:imagedata r:id="rId15"/>
                </v:shape>
              </v:group>
            </w:pict>
          </mc:Fallback>
        </mc:AlternateContent>
      </w:r>
    </w:p>
    <w:p w:rsidR="00237288" w:rsidRDefault="00C40D4D">
      <w:pPr>
        <w:spacing w:after="153" w:line="251" w:lineRule="auto"/>
        <w:ind w:left="-5"/>
      </w:pPr>
      <w:r>
        <w:rPr>
          <w:sz w:val="22"/>
        </w:rPr>
        <w:t xml:space="preserve">Example of deeper understanding: </w:t>
      </w:r>
    </w:p>
    <w:p w:rsidR="00237288" w:rsidRDefault="00C40D4D">
      <w:pPr>
        <w:spacing w:after="0" w:line="259" w:lineRule="auto"/>
        <w:ind w:left="0" w:firstLine="0"/>
      </w:pPr>
      <w:r>
        <w:rPr>
          <w:i w:val="0"/>
          <w:sz w:val="22"/>
        </w:rPr>
        <w:t xml:space="preserve"> </w:t>
      </w:r>
    </w:p>
    <w:p w:rsidR="00237288" w:rsidRDefault="00C40D4D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5616215" cy="2460455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6215" cy="246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288">
      <w:pgSz w:w="11906" w:h="16838"/>
      <w:pgMar w:top="314" w:right="1102" w:bottom="164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3797"/>
    <w:multiLevelType w:val="hybridMultilevel"/>
    <w:tmpl w:val="AF7EF638"/>
    <w:lvl w:ilvl="0" w:tplc="699E640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1E9D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A6D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C624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6A87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CB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4E71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AA46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106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D1C45"/>
    <w:multiLevelType w:val="hybridMultilevel"/>
    <w:tmpl w:val="8A068884"/>
    <w:lvl w:ilvl="0" w:tplc="B9186A6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985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1A78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02D1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9E94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5EA3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AC6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3C0D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6033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538C7"/>
    <w:multiLevelType w:val="hybridMultilevel"/>
    <w:tmpl w:val="DEF01D72"/>
    <w:lvl w:ilvl="0" w:tplc="25EC2BE2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6CC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D66D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A5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26B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0A5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F86A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D022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6AC2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88"/>
    <w:rsid w:val="00237288"/>
    <w:rsid w:val="00C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E089"/>
  <w15:docId w15:val="{87C4625B-768F-4E3B-93AA-9B42C5F6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1" w:lineRule="auto"/>
      <w:ind w:left="370" w:hanging="10"/>
    </w:pPr>
    <w:rPr>
      <w:rFonts w:ascii="Calibri" w:eastAsia="Calibri" w:hAnsi="Calibri" w:cs="Calibri"/>
      <w:i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outlineLvl w:val="0"/>
    </w:pPr>
    <w:rPr>
      <w:rFonts w:ascii="Calibri" w:eastAsia="Calibri" w:hAnsi="Calibri" w:cs="Calibri"/>
      <w:i/>
      <w:color w:val="006FC0"/>
      <w:u w:val="single" w:color="006F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6FC0"/>
      <w:sz w:val="22"/>
      <w:u w:val="single" w:color="006F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60.jpg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Granite</dc:creator>
  <cp:keywords/>
  <cp:lastModifiedBy>EMILY  SNOWBALL</cp:lastModifiedBy>
  <cp:revision>2</cp:revision>
  <dcterms:created xsi:type="dcterms:W3CDTF">2022-09-19T18:58:00Z</dcterms:created>
  <dcterms:modified xsi:type="dcterms:W3CDTF">2022-09-19T18:58:00Z</dcterms:modified>
</cp:coreProperties>
</file>